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olor w:val="333333"/>
          <w:kern w:val="0"/>
          <w:sz w:val="28"/>
          <w:szCs w:val="28"/>
          <w:shd w:val="clear" w:fill="ffffff"/>
          <w:lang w:eastAsia="zh-cn"/>
        </w:rPr>
      </w:pPr>
      <w:r>
        <w:rPr>
          <w:rFonts w:eastAsia="Times New Roman"/>
          <w:color w:val="333333"/>
          <w:kern w:val="0"/>
          <w:sz w:val="28"/>
          <w:szCs w:val="28"/>
          <w:shd w:val="clear" w:fill="ffffff"/>
          <w:lang w:eastAsia="zh-cn"/>
        </w:rPr>
      </w:r>
    </w:p>
    <w:p>
      <w:pPr>
        <w:ind w:firstLine="709"/>
        <w:contextualSpacing/>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b/>
          <w:bCs/>
          <w:color w:val="333333"/>
          <w:kern w:val="0"/>
          <w:sz w:val="28"/>
          <w:szCs w:val="28"/>
          <w:lang w:eastAsia="zh-cn"/>
        </w:rPr>
      </w:pPr>
      <w:r>
        <w:rPr>
          <w:rFonts w:eastAsia="Times New Roman"/>
          <w:b/>
          <w:bCs/>
          <w:color w:val="333333"/>
          <w:kern w:val="0"/>
          <w:sz w:val="28"/>
          <w:szCs w:val="28"/>
          <w:lang w:eastAsia="zh-cn"/>
        </w:rPr>
        <w:t>Особенности дееспособности малолетних в гражданском праве</w:t>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Согласно ст. 21 Гражданского кодекса РФ по общему правилу гражданская дееспособность возникает по достижению 18 лет.</w:t>
      </w:r>
      <w:r>
        <w:rPr>
          <w:rFonts w:ascii="Roboto" w:hAnsi="Roboto" w:eastAsia="Times New Roman"/>
          <w:color w:val="333333"/>
          <w:kern w:val="0"/>
          <w:sz w:val="24"/>
          <w:szCs w:val="24"/>
          <w:lang w:eastAsia="zh-cn"/>
        </w:rPr>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В целях определения дееспособности, признания сделки недействительной, назначения опеки малолетним признается ребенок, не достигший 14 лет.</w:t>
      </w:r>
      <w:r>
        <w:rPr>
          <w:rFonts w:ascii="Roboto" w:hAnsi="Roboto" w:eastAsia="Times New Roman"/>
          <w:color w:val="333333"/>
          <w:kern w:val="0"/>
          <w:sz w:val="24"/>
          <w:szCs w:val="24"/>
          <w:lang w:eastAsia="zh-cn"/>
        </w:rPr>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Законодательством установлены особенности дееспособности малолетних.</w:t>
      </w:r>
      <w:r>
        <w:rPr>
          <w:rFonts w:ascii="Roboto" w:hAnsi="Roboto" w:eastAsia="Times New Roman"/>
          <w:color w:val="333333"/>
          <w:kern w:val="0"/>
          <w:sz w:val="24"/>
          <w:szCs w:val="24"/>
          <w:lang w:eastAsia="zh-cn"/>
        </w:rPr>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За несовершеннолетних большинство сделок могут совершать от их имени только их законные представители (родители, усыновители или опекуны). При этом имущественную ответственность по таким сделкам, а также по сделкам, совершенным не достигшими 14 лет несут их законные представители, если не докажут, что обязательство было нарушено не по их вине. Кроме того, эти лица отвечают за вред, причиненный малолетними.</w:t>
      </w:r>
      <w:r>
        <w:rPr>
          <w:rFonts w:ascii="Roboto" w:hAnsi="Roboto" w:eastAsia="Times New Roman"/>
          <w:color w:val="333333"/>
          <w:kern w:val="0"/>
          <w:sz w:val="24"/>
          <w:szCs w:val="24"/>
          <w:lang w:eastAsia="zh-cn"/>
        </w:rPr>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Малолетние в возрасте от 6 до 14 лет вправе совершать отдельные сделки самостоятельно. К таким сделкам относятся (п. 2 ст. 28 Гражданского кодекса РФ):</w:t>
      </w:r>
      <w:r>
        <w:rPr>
          <w:rFonts w:ascii="Roboto" w:hAnsi="Roboto" w:eastAsia="Times New Roman"/>
          <w:color w:val="333333"/>
          <w:kern w:val="0"/>
          <w:sz w:val="24"/>
          <w:szCs w:val="24"/>
          <w:lang w:eastAsia="zh-cn"/>
        </w:rPr>
      </w:r>
    </w:p>
    <w:p>
      <w:pPr>
        <w:numPr>
          <w:ilvl w:val="0"/>
          <w:numId w:val="1"/>
        </w:numPr>
        <w:ind w:left="0"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мелкие бытовые сделки (например, покупка продуктов или недорогих игрушек);</w:t>
      </w:r>
      <w:r>
        <w:rPr>
          <w:rFonts w:ascii="Roboto" w:hAnsi="Roboto" w:eastAsia="Times New Roman"/>
          <w:color w:val="333333"/>
          <w:kern w:val="0"/>
          <w:sz w:val="24"/>
          <w:szCs w:val="24"/>
          <w:lang w:eastAsia="zh-cn"/>
        </w:rPr>
      </w:r>
    </w:p>
    <w:p>
      <w:pPr>
        <w:numPr>
          <w:ilvl w:val="0"/>
          <w:numId w:val="1"/>
        </w:numPr>
        <w:ind w:left="0"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сделки, направленные на безвозмездное получение выгоды, не требующие нотариального удостоверения либо государственной регистрации (например, получение в дар движимого имущества);</w:t>
      </w:r>
      <w:r>
        <w:rPr>
          <w:rFonts w:ascii="Roboto" w:hAnsi="Roboto" w:eastAsia="Times New Roman"/>
          <w:color w:val="333333"/>
          <w:kern w:val="0"/>
          <w:sz w:val="24"/>
          <w:szCs w:val="24"/>
          <w:lang w:eastAsia="zh-cn"/>
        </w:rPr>
      </w:r>
    </w:p>
    <w:p>
      <w:pPr>
        <w:numPr>
          <w:ilvl w:val="0"/>
          <w:numId w:val="1"/>
        </w:numPr>
        <w:ind w:left="0"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сделки по распоряжению средствами, предоставленными законным представителем или с его согласия третьим лицом для определенной цели или для свободного распоряжения.</w:t>
      </w:r>
      <w:r>
        <w:rPr>
          <w:rFonts w:ascii="Roboto" w:hAnsi="Roboto" w:eastAsia="Times New Roman"/>
          <w:color w:val="333333"/>
          <w:kern w:val="0"/>
          <w:sz w:val="24"/>
          <w:szCs w:val="24"/>
          <w:lang w:eastAsia="zh-cn"/>
        </w:rPr>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Сделки, которые могли бы самостоятельно совершать малолетние в возрасте до шести лет, законодательством не предусмотрены.</w:t>
      </w:r>
      <w:r>
        <w:rPr>
          <w:rFonts w:ascii="Roboto" w:hAnsi="Roboto" w:eastAsia="Times New Roman"/>
          <w:color w:val="333333"/>
          <w:kern w:val="0"/>
          <w:sz w:val="24"/>
          <w:szCs w:val="24"/>
          <w:lang w:eastAsia="zh-cn"/>
        </w:rPr>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Имущественную ответственность по всем сделкам малолетнего несут его родители, усыновители или опекуны, если не докажут, что обязательство было нарушено не по их вине. Также они отвечают за вред, причиненный малолетними (п. 3 ст. 28, п. 1 ст. 1073 Гражданского кодекса РФ).</w:t>
      </w:r>
      <w:r>
        <w:rPr>
          <w:rFonts w:ascii="Roboto" w:hAnsi="Roboto" w:eastAsia="Times New Roman"/>
          <w:color w:val="333333"/>
          <w:kern w:val="0"/>
          <w:sz w:val="24"/>
          <w:szCs w:val="24"/>
          <w:lang w:eastAsia="zh-cn"/>
        </w:rPr>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000000"/>
          <w:kern w:val="0"/>
          <w:sz w:val="28"/>
          <w:szCs w:val="28"/>
          <w:lang w:eastAsia="zh-cn"/>
        </w:rPr>
        <w:t>Подробнее с информацией можно ознакомиться на сайте КонсультантПлюс</w:t>
      </w:r>
      <w:r>
        <w:rPr>
          <w:rFonts w:eastAsia="Times New Roman"/>
          <w:color w:val="000000"/>
          <w:kern w:val="0"/>
          <w:sz w:val="28"/>
          <w:szCs w:val="28"/>
          <w:lang w:eastAsia="zh-cn"/>
        </w:rPr>
        <w:t xml:space="preserve"> - </w:t>
      </w:r>
      <w:hyperlink r:id="rId8" w:history="1">
        <w:r>
          <w:rPr>
            <w:rFonts w:eastAsia="Times New Roman"/>
            <w:color w:val="000000"/>
            <w:kern w:val="0"/>
            <w:sz w:val="28"/>
            <w:szCs w:val="28"/>
            <w:lang w:eastAsia="zh-cn"/>
          </w:rPr>
          <w:t>http://www.consultant.ru</w:t>
        </w:r>
      </w:hyperlink>
      <w:r>
        <w:rPr>
          <w:rFonts w:eastAsia="Times New Roman"/>
          <w:color w:val="000000"/>
          <w:kern w:val="0"/>
          <w:sz w:val="28"/>
          <w:szCs w:val="28"/>
          <w:lang w:eastAsia="zh-cn"/>
        </w:rPr>
        <w:t>, официальном интернет-портале правовой информации http://pravo.gov.ru/.</w:t>
      </w:r>
      <w:r>
        <w:rPr>
          <w:rFonts w:ascii="Roboto" w:hAnsi="Roboto" w:eastAsia="Times New Roman"/>
          <w:color w:val="333333"/>
          <w:kern w:val="0"/>
          <w:sz w:val="24"/>
          <w:szCs w:val="24"/>
          <w:lang w:eastAsia="zh-cn"/>
        </w:rPr>
      </w:r>
    </w:p>
    <w:p>
      <w:pPr>
        <w:ind w:firstLine="709"/>
        <w:contextualSpacing/>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b/>
          <w:bCs/>
          <w:color w:val="333333"/>
          <w:kern w:val="0"/>
          <w:sz w:val="28"/>
          <w:szCs w:val="28"/>
          <w:lang w:eastAsia="zh-cn"/>
        </w:rPr>
      </w:pPr>
      <w:r>
        <w:rPr>
          <w:rFonts w:eastAsia="Times New Roman"/>
          <w:b/>
          <w:bCs/>
          <w:color w:val="333333"/>
          <w:kern w:val="0"/>
          <w:sz w:val="28"/>
          <w:szCs w:val="28"/>
          <w:lang w:eastAsia="zh-cn"/>
        </w:rPr>
      </w:r>
    </w:p>
    <w:sectPr>
      <w:footnotePr>
        <w:pos w:val="pageBottom"/>
        <w:numFmt w:val="decimal"/>
        <w:numStart w:val="1"/>
        <w:numRestart w:val="continuous"/>
      </w:footnotePr>
      <w:endnotePr>
        <w:pos w:val="docEnd"/>
        <w:numFmt w:val="decimal"/>
        <w:numStart w:val="1"/>
        <w:numRestart w:val="continuous"/>
      </w:endnotePr>
      <w:type w:val="continuous"/>
      <w:pgSz w:h="16839" w:w="11907"/>
      <w:pgMar w:left="1134" w:top="1134" w:right="1134" w:bottom="1134" w:header="0" w:footer="0"/>
      <w:paperSrc w:first="0" w:other="0"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ourier New">
    <w:panose1 w:val="02070309020205020404"/>
    <w:charset w:val="cc"/>
    <w:family w:val="modern"/>
    <w:pitch w:val="default"/>
  </w:font>
  <w:font w:name="Roboto">
    <w:panose1 w:val="020B0604020202020204"/>
    <w:charset w:val="00"/>
    <w:family w:val="auto"/>
    <w:pitch w:val="default"/>
  </w:font>
  <w:font w:name="Calibri">
    <w:panose1 w:val="020F0502020204030204"/>
    <w:charset w:val="cc"/>
    <w:family w:val="swiss"/>
    <w:pitch w:val="default"/>
  </w:font>
  <w:font w:name="Symbol">
    <w:panose1 w:val="05050102010706020507"/>
    <w:charset w:val="02"/>
    <w:family w:val="roman"/>
    <w:pitch w:val="default"/>
  </w:font>
  <w:font w:name="Wingdings">
    <w:panose1 w:val="05000000000000000000"/>
    <w:charset w:val="02"/>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6"/>
  <w:tmPrefTwo w:val="1"/>
  <w:tmFmtPref w:val="54540299"/>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0"/>
  </w:tmReviewPr>
  <w:tmLastPos>
    <w:tmLastPosPage w:val="0"/>
    <w:tmLastPosSelect w:val="1"/>
    <w:tmLastPosFrameIdx w:val="0"/>
    <w:tmLastPosCaret>
      <w:tmLastPosPgfIdx w:val="1"/>
      <w:tmLastPosIdx w:val="0"/>
    </w:tmLastPosCaret>
    <w:tmLastPosAnchor>
      <w:tmLastPosPgfIdx w:val="1"/>
      <w:tmLastPosIdx w:val="57"/>
    </w:tmLastPosAnchor>
    <w:tmLastPosTblRect w:left="0" w:top="0" w:right="0" w:bottom="0"/>
  </w:tmLastPos>
  <w:tmAppRevision w:date="1655359422"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Plain Text"/>
    <w:qFormat/>
    <w:basedOn w:val="para0"/>
    <w:pPr>
      <w:suppressAutoHyphens/>
      <w:hyphenationLines w:val="0"/>
    </w:pPr>
    <w:rPr>
      <w:rFonts w:ascii="Courier New" w:hAnsi="Courier New" w:eastAsia="Courier New" w:cs="Courier New"/>
    </w:r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Plain Text"/>
    <w:qFormat/>
    <w:basedOn w:val="para0"/>
    <w:pPr>
      <w:suppressAutoHyphens/>
      <w:hyphenationLines w:val="0"/>
    </w:pPr>
    <w:rPr>
      <w:rFonts w:ascii="Courier New" w:hAnsi="Courier New" w:eastAsia="Courier New" w:cs="Courier New"/>
    </w:r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2022-06-16T05:58:13Z</dcterms:created>
  <dcterms:modified xsi:type="dcterms:W3CDTF">2022-06-16T06:03:42Z</dcterms:modified>
</cp:coreProperties>
</file>